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0"/>
        <w:gridCol w:w="4849"/>
      </w:tblGrid>
      <w:tr w:rsidR="00996242" w:rsidRPr="00996242" w14:paraId="5619DB31" w14:textId="77777777" w:rsidTr="009962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719DC01" w14:textId="77777777" w:rsidR="00996242" w:rsidRPr="00996242" w:rsidRDefault="00996242" w:rsidP="00996242">
            <w:pPr>
              <w:spacing w:after="0"/>
              <w:jc w:val="center"/>
              <w:rPr>
                <w:rFonts w:eastAsia="MS Mincho"/>
                <w:b/>
                <w:bCs/>
                <w:color w:val="C00000"/>
                <w:spacing w:val="10"/>
                <w:kern w:val="24"/>
                <w:sz w:val="28"/>
                <w:szCs w:val="28"/>
                <w:lang w:val="ru-RU"/>
              </w:rPr>
            </w:pPr>
            <w:r w:rsidRPr="00996242">
              <w:rPr>
                <w:rFonts w:eastAsia="MS Mincho"/>
                <w:b/>
                <w:bCs/>
                <w:color w:val="C00000"/>
                <w:spacing w:val="10"/>
                <w:kern w:val="24"/>
                <w:sz w:val="28"/>
                <w:szCs w:val="28"/>
                <w:lang w:val="ru-RU"/>
              </w:rPr>
              <w:t>Научный семинар Лаборатории Радиационной биофизики и биомедицинских технологий</w:t>
            </w:r>
          </w:p>
        </w:tc>
      </w:tr>
      <w:tr w:rsidR="00996242" w:rsidRPr="00996242" w14:paraId="55C8818C" w14:textId="77777777" w:rsidTr="00996242">
        <w:trPr>
          <w:tblCellSpacing w:w="15" w:type="dxa"/>
        </w:trPr>
        <w:tc>
          <w:tcPr>
            <w:tcW w:w="0" w:type="auto"/>
            <w:gridSpan w:val="2"/>
            <w:vAlign w:val="center"/>
          </w:tcPr>
          <w:p w14:paraId="2407AEC5" w14:textId="189B6415" w:rsidR="00996242" w:rsidRPr="00996242" w:rsidRDefault="00996242" w:rsidP="00996242">
            <w:pPr>
              <w:spacing w:after="0"/>
              <w:jc w:val="center"/>
              <w:rPr>
                <w:rFonts w:eastAsia="MS Mincho"/>
                <w:b/>
                <w:bCs/>
                <w:color w:val="C00000"/>
                <w:spacing w:val="10"/>
                <w:kern w:val="24"/>
                <w:sz w:val="28"/>
                <w:szCs w:val="28"/>
                <w:lang w:val="ru-RU"/>
              </w:rPr>
            </w:pPr>
            <w:r w:rsidRPr="004D69C8">
              <w:rPr>
                <w:rFonts w:eastAsia="MS Mincho"/>
                <w:b/>
                <w:bCs/>
                <w:color w:val="C00000"/>
                <w:spacing w:val="10"/>
                <w:kern w:val="24"/>
                <w:sz w:val="28"/>
                <w:szCs w:val="28"/>
                <w:lang w:val="ru-RU"/>
              </w:rPr>
              <w:t>Определение диагностической значимости скоростей оксигенации/</w:t>
            </w:r>
            <w:proofErr w:type="spellStart"/>
            <w:r w:rsidRPr="004D69C8">
              <w:rPr>
                <w:rFonts w:eastAsia="MS Mincho"/>
                <w:b/>
                <w:bCs/>
                <w:color w:val="C00000"/>
                <w:spacing w:val="10"/>
                <w:kern w:val="24"/>
                <w:sz w:val="28"/>
                <w:szCs w:val="28"/>
                <w:lang w:val="ru-RU"/>
              </w:rPr>
              <w:t>деоксигенации</w:t>
            </w:r>
            <w:proofErr w:type="spellEnd"/>
            <w:r w:rsidRPr="004D69C8">
              <w:rPr>
                <w:rFonts w:eastAsia="MS Mincho"/>
                <w:b/>
                <w:bCs/>
                <w:color w:val="C00000"/>
                <w:spacing w:val="10"/>
                <w:kern w:val="24"/>
                <w:sz w:val="28"/>
                <w:szCs w:val="28"/>
                <w:lang w:val="ru-RU"/>
              </w:rPr>
              <w:t xml:space="preserve"> крови для оценки состояния кислородно-транспортной функции эритроцитов.</w:t>
            </w:r>
          </w:p>
        </w:tc>
      </w:tr>
      <w:tr w:rsidR="00996242" w:rsidRPr="00996242" w14:paraId="76E48D76" w14:textId="77777777" w:rsidTr="009962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737323" w14:textId="3AF0928C" w:rsidR="00996242" w:rsidRPr="00996242" w:rsidRDefault="00996242" w:rsidP="00996242">
            <w:pPr>
              <w:spacing w:after="0"/>
              <w:rPr>
                <w:rFonts w:eastAsia="MS Mincho"/>
                <w:b/>
                <w:bCs/>
                <w:color w:val="C00000"/>
                <w:spacing w:val="10"/>
                <w:kern w:val="24"/>
                <w:sz w:val="28"/>
                <w:szCs w:val="28"/>
                <w:lang w:val="ru-RU"/>
              </w:rPr>
            </w:pPr>
            <w:r w:rsidRPr="00996242">
              <w:rPr>
                <w:rFonts w:eastAsia="MS Mincho"/>
                <w:b/>
                <w:bCs/>
                <w:color w:val="C00000"/>
                <w:spacing w:val="10"/>
                <w:kern w:val="24"/>
                <w:sz w:val="28"/>
                <w:szCs w:val="28"/>
                <w:lang w:val="ru-RU"/>
              </w:rPr>
              <w:t>М</w:t>
            </w:r>
            <w:r w:rsidRPr="00996242">
              <w:rPr>
                <w:rFonts w:eastAsia="MS Mincho"/>
                <w:b/>
                <w:bCs/>
                <w:color w:val="C00000"/>
                <w:spacing w:val="10"/>
                <w:kern w:val="24"/>
                <w:sz w:val="28"/>
                <w:szCs w:val="28"/>
                <w:lang w:val="ru-RU"/>
              </w:rPr>
              <w:t>есто</w:t>
            </w:r>
            <w:r w:rsidRPr="00996242">
              <w:rPr>
                <w:rFonts w:eastAsia="MS Mincho"/>
                <w:b/>
                <w:bCs/>
                <w:color w:val="C00000"/>
                <w:spacing w:val="10"/>
                <w:kern w:val="24"/>
                <w:sz w:val="28"/>
                <w:szCs w:val="28"/>
                <w:lang w:val="ru-RU"/>
              </w:rPr>
              <w:t xml:space="preserve"> и </w:t>
            </w:r>
            <w:r w:rsidRPr="00996242">
              <w:rPr>
                <w:rFonts w:eastAsia="MS Mincho"/>
                <w:b/>
                <w:bCs/>
                <w:color w:val="C00000"/>
                <w:spacing w:val="10"/>
                <w:kern w:val="24"/>
                <w:sz w:val="28"/>
                <w:szCs w:val="28"/>
                <w:lang w:val="ru-RU"/>
              </w:rPr>
              <w:t>время проведения:</w:t>
            </w:r>
          </w:p>
        </w:tc>
        <w:tc>
          <w:tcPr>
            <w:tcW w:w="0" w:type="auto"/>
            <w:vAlign w:val="bottom"/>
            <w:hideMark/>
          </w:tcPr>
          <w:p w14:paraId="2314FAC1" w14:textId="2F865E70" w:rsidR="00996242" w:rsidRPr="00996242" w:rsidRDefault="00996242" w:rsidP="00996242">
            <w:pPr>
              <w:spacing w:after="0"/>
              <w:rPr>
                <w:rFonts w:eastAsia="MS Mincho"/>
                <w:b/>
                <w:bCs/>
                <w:color w:val="C00000"/>
                <w:spacing w:val="10"/>
                <w:kern w:val="24"/>
                <w:sz w:val="28"/>
                <w:szCs w:val="28"/>
                <w:lang w:val="ru-RU"/>
              </w:rPr>
            </w:pPr>
            <w:proofErr w:type="spellStart"/>
            <w:r w:rsidRPr="00996242">
              <w:rPr>
                <w:rFonts w:eastAsia="MS Mincho"/>
                <w:b/>
                <w:bCs/>
                <w:color w:val="C00000"/>
                <w:spacing w:val="10"/>
                <w:kern w:val="24"/>
                <w:sz w:val="28"/>
                <w:szCs w:val="28"/>
                <w:lang w:val="ru-RU"/>
              </w:rPr>
              <w:t>Малый</w:t>
            </w:r>
            <w:proofErr w:type="spellEnd"/>
            <w:r w:rsidRPr="00996242">
              <w:rPr>
                <w:rFonts w:eastAsia="MS Mincho"/>
                <w:b/>
                <w:bCs/>
                <w:color w:val="C00000"/>
                <w:spacing w:val="10"/>
                <w:kern w:val="2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6242">
              <w:rPr>
                <w:rFonts w:eastAsia="MS Mincho"/>
                <w:b/>
                <w:bCs/>
                <w:color w:val="C00000"/>
                <w:spacing w:val="10"/>
                <w:kern w:val="24"/>
                <w:sz w:val="28"/>
                <w:szCs w:val="28"/>
                <w:lang w:val="ru-RU"/>
              </w:rPr>
              <w:t>зал</w:t>
            </w:r>
            <w:proofErr w:type="spellEnd"/>
            <w:r w:rsidRPr="00996242">
              <w:rPr>
                <w:rFonts w:eastAsia="MS Mincho"/>
                <w:b/>
                <w:bCs/>
                <w:color w:val="C00000"/>
                <w:spacing w:val="10"/>
                <w:kern w:val="24"/>
                <w:sz w:val="28"/>
                <w:szCs w:val="28"/>
                <w:lang w:val="ru-RU"/>
              </w:rPr>
              <w:t xml:space="preserve">, </w:t>
            </w:r>
            <w:r w:rsidRPr="00996242">
              <w:rPr>
                <w:rFonts w:eastAsia="MS Mincho"/>
                <w:b/>
                <w:bCs/>
                <w:color w:val="C00000"/>
                <w:spacing w:val="10"/>
                <w:kern w:val="24"/>
                <w:sz w:val="28"/>
                <w:szCs w:val="28"/>
                <w:lang w:val="ru-RU"/>
              </w:rPr>
              <w:t xml:space="preserve">12 мая, </w:t>
            </w:r>
            <w:proofErr w:type="spellStart"/>
            <w:r w:rsidRPr="00996242">
              <w:rPr>
                <w:rFonts w:eastAsia="MS Mincho"/>
                <w:b/>
                <w:bCs/>
                <w:color w:val="C00000"/>
                <w:spacing w:val="10"/>
                <w:kern w:val="24"/>
                <w:sz w:val="28"/>
                <w:szCs w:val="28"/>
                <w:lang w:val="ru-RU"/>
              </w:rPr>
              <w:t>четверг</w:t>
            </w:r>
            <w:proofErr w:type="spellEnd"/>
            <w:r w:rsidRPr="00996242">
              <w:rPr>
                <w:rFonts w:eastAsia="MS Mincho"/>
                <w:b/>
                <w:bCs/>
                <w:color w:val="C00000"/>
                <w:spacing w:val="10"/>
                <w:kern w:val="24"/>
                <w:sz w:val="28"/>
                <w:szCs w:val="28"/>
                <w:lang w:val="ru-RU"/>
              </w:rPr>
              <w:t xml:space="preserve"> 16:00</w:t>
            </w:r>
          </w:p>
        </w:tc>
      </w:tr>
    </w:tbl>
    <w:p w14:paraId="31A4BCEF" w14:textId="4289F980" w:rsidR="00146BEA" w:rsidRPr="004D69C8" w:rsidRDefault="00146BEA" w:rsidP="004D69C8">
      <w:pPr>
        <w:jc w:val="center"/>
        <w:rPr>
          <w:sz w:val="24"/>
          <w:szCs w:val="24"/>
          <w:lang w:val="ru-RU"/>
        </w:rPr>
      </w:pPr>
      <w:r w:rsidRPr="004D69C8">
        <w:rPr>
          <w:noProof/>
          <w:sz w:val="24"/>
          <w:szCs w:val="24"/>
        </w:rPr>
        <w:drawing>
          <wp:inline distT="0" distB="0" distL="0" distR="0" wp14:anchorId="560933A9" wp14:editId="392D6CEA">
            <wp:extent cx="3276600" cy="1520109"/>
            <wp:effectExtent l="152400" t="152400" r="361950" b="36639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41054" cy="15500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2357240" w14:textId="411D5ADB" w:rsidR="00146BEA" w:rsidRPr="004D69C8" w:rsidRDefault="004D69C8">
      <w:pPr>
        <w:rPr>
          <w:sz w:val="24"/>
          <w:szCs w:val="24"/>
          <w:lang w:val="ru-RU"/>
        </w:rPr>
      </w:pPr>
      <w:r w:rsidRPr="004D69C8">
        <w:rPr>
          <w:sz w:val="24"/>
          <w:szCs w:val="24"/>
          <w:lang w:val="ru-RU"/>
        </w:rPr>
        <w:t>Вниманию участников семинара предлагается созданный в</w:t>
      </w:r>
      <w:r w:rsidR="00146BEA" w:rsidRPr="004D69C8">
        <w:rPr>
          <w:sz w:val="24"/>
          <w:szCs w:val="24"/>
          <w:lang w:val="ru-RU"/>
        </w:rPr>
        <w:t xml:space="preserve"> рамках проекта КИНОКС новый </w:t>
      </w:r>
      <w:proofErr w:type="spellStart"/>
      <w:r w:rsidR="00146BEA" w:rsidRPr="004D69C8">
        <w:rPr>
          <w:sz w:val="24"/>
          <w:szCs w:val="24"/>
          <w:lang w:val="ru-RU"/>
        </w:rPr>
        <w:t>биомаркер</w:t>
      </w:r>
      <w:proofErr w:type="spellEnd"/>
      <w:r w:rsidR="00146BEA" w:rsidRPr="004D69C8">
        <w:rPr>
          <w:sz w:val="24"/>
          <w:szCs w:val="24"/>
          <w:lang w:val="ru-RU"/>
        </w:rPr>
        <w:t>, характеризующий изменение по сравнению с нормой скорости насыщения пробы крови кислородом в выбранных специальных условиях.</w:t>
      </w:r>
    </w:p>
    <w:p w14:paraId="0A2F78A2" w14:textId="77777777" w:rsidR="004D69C8" w:rsidRPr="004D69C8" w:rsidRDefault="004D69C8" w:rsidP="004D69C8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lang w:val="ru-RU"/>
        </w:rPr>
      </w:pPr>
      <w:r w:rsidRPr="004D69C8">
        <w:rPr>
          <w:rFonts w:asciiTheme="minorHAnsi" w:hAnsiTheme="minorHAnsi"/>
          <w:lang w:val="ru-RU"/>
        </w:rPr>
        <w:t xml:space="preserve">Предлагаемый показатель может являться новым </w:t>
      </w:r>
      <w:proofErr w:type="spellStart"/>
      <w:r w:rsidRPr="004D69C8">
        <w:rPr>
          <w:rFonts w:asciiTheme="minorHAnsi" w:hAnsiTheme="minorHAnsi"/>
          <w:lang w:val="ru-RU"/>
        </w:rPr>
        <w:t>биомаркером</w:t>
      </w:r>
      <w:proofErr w:type="spellEnd"/>
      <w:r w:rsidRPr="004D69C8">
        <w:rPr>
          <w:rFonts w:asciiTheme="minorHAnsi" w:hAnsiTheme="minorHAnsi"/>
          <w:lang w:val="ru-RU"/>
        </w:rPr>
        <w:t xml:space="preserve">, определяющим способность эритроцитов эффективно связывать, переносить и отдавать кислород тканям-потребителям, что может давать информацию о наличии либо отсутствии генерализованных сосудистых нарушений при различных внутренних болезнях. </w:t>
      </w:r>
    </w:p>
    <w:p w14:paraId="5A339433" w14:textId="77777777" w:rsidR="004D69C8" w:rsidRPr="004D69C8" w:rsidRDefault="004D69C8" w:rsidP="004D69C8">
      <w:pPr>
        <w:contextualSpacing/>
        <w:jc w:val="both"/>
        <w:rPr>
          <w:sz w:val="24"/>
          <w:szCs w:val="24"/>
          <w:lang w:val="ru-RU"/>
        </w:rPr>
      </w:pPr>
      <w:r w:rsidRPr="004D69C8">
        <w:rPr>
          <w:sz w:val="24"/>
          <w:szCs w:val="24"/>
          <w:lang w:val="ru-RU"/>
        </w:rPr>
        <w:t xml:space="preserve">Этот показатель позволит получить дополнительную информацию: </w:t>
      </w:r>
    </w:p>
    <w:p w14:paraId="07C94EF5" w14:textId="77777777" w:rsidR="004D69C8" w:rsidRPr="004D69C8" w:rsidRDefault="004D69C8" w:rsidP="004D69C8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lang w:val="ru-RU"/>
        </w:rPr>
      </w:pPr>
      <w:r w:rsidRPr="004D69C8">
        <w:rPr>
          <w:rFonts w:asciiTheme="minorHAnsi" w:hAnsiTheme="minorHAnsi"/>
          <w:lang w:val="ru-RU"/>
        </w:rPr>
        <w:t xml:space="preserve">о </w:t>
      </w:r>
      <w:proofErr w:type="gramStart"/>
      <w:r w:rsidRPr="004D69C8">
        <w:rPr>
          <w:rFonts w:asciiTheme="minorHAnsi" w:hAnsiTheme="minorHAnsi"/>
          <w:lang w:val="ru-RU"/>
        </w:rPr>
        <w:t>морфо-функциональном</w:t>
      </w:r>
      <w:proofErr w:type="gramEnd"/>
      <w:r w:rsidRPr="004D69C8">
        <w:rPr>
          <w:rFonts w:asciiTheme="minorHAnsi" w:hAnsiTheme="minorHAnsi"/>
          <w:lang w:val="ru-RU"/>
        </w:rPr>
        <w:t xml:space="preserve"> состоянии гемоглобина в эритроцитах;</w:t>
      </w:r>
    </w:p>
    <w:p w14:paraId="50E6CC18" w14:textId="77777777" w:rsidR="004D69C8" w:rsidRPr="004D69C8" w:rsidRDefault="004D69C8" w:rsidP="004D69C8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lang w:val="ru-RU"/>
        </w:rPr>
      </w:pPr>
      <w:r w:rsidRPr="004D69C8">
        <w:rPr>
          <w:rFonts w:asciiTheme="minorHAnsi" w:hAnsiTheme="minorHAnsi"/>
          <w:lang w:val="ru-RU"/>
        </w:rPr>
        <w:t>о уровне энергетического метаболизма эритроцитов и состоянии их мембран;</w:t>
      </w:r>
    </w:p>
    <w:p w14:paraId="41308C4F" w14:textId="77777777" w:rsidR="004D69C8" w:rsidRPr="004D69C8" w:rsidRDefault="004D69C8" w:rsidP="004D69C8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lang w:val="ru-RU"/>
        </w:rPr>
      </w:pPr>
      <w:r w:rsidRPr="004D69C8">
        <w:rPr>
          <w:rFonts w:asciiTheme="minorHAnsi" w:hAnsiTheme="minorHAnsi"/>
          <w:lang w:val="ru-RU"/>
        </w:rPr>
        <w:t xml:space="preserve">о текущем состоянии кислородно-транспортной функции системы кровообращения;  </w:t>
      </w:r>
    </w:p>
    <w:p w14:paraId="7E83997F" w14:textId="77777777" w:rsidR="004D69C8" w:rsidRPr="004D69C8" w:rsidRDefault="004D69C8" w:rsidP="004D69C8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lang w:val="ru-RU"/>
        </w:rPr>
      </w:pPr>
      <w:r w:rsidRPr="004D69C8">
        <w:rPr>
          <w:rFonts w:asciiTheme="minorHAnsi" w:hAnsiTheme="minorHAnsi"/>
          <w:lang w:val="ru-RU"/>
        </w:rPr>
        <w:t>о степени риска развития системных осложнений;</w:t>
      </w:r>
    </w:p>
    <w:p w14:paraId="19A4A56F" w14:textId="77777777" w:rsidR="004D69C8" w:rsidRPr="004D69C8" w:rsidRDefault="004D69C8" w:rsidP="004D69C8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lang w:val="ru-RU"/>
        </w:rPr>
      </w:pPr>
      <w:r w:rsidRPr="004D69C8">
        <w:rPr>
          <w:rFonts w:asciiTheme="minorHAnsi" w:hAnsiTheme="minorHAnsi"/>
          <w:lang w:val="ru-RU"/>
        </w:rPr>
        <w:t xml:space="preserve">о необходимости проведения направленного диагностического поиска конкретной органной патологии </w:t>
      </w:r>
    </w:p>
    <w:p w14:paraId="5C6B5662" w14:textId="77777777" w:rsidR="004D69C8" w:rsidRPr="004D69C8" w:rsidRDefault="004D69C8" w:rsidP="004D69C8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lang w:val="ru-RU"/>
        </w:rPr>
      </w:pPr>
      <w:r w:rsidRPr="004D69C8">
        <w:rPr>
          <w:rFonts w:asciiTheme="minorHAnsi" w:hAnsiTheme="minorHAnsi"/>
          <w:lang w:val="ru-RU"/>
        </w:rPr>
        <w:t xml:space="preserve">об эффективности проводимых лечебных мероприятий по коррекции гемодинамических и системных нарушений (при </w:t>
      </w:r>
      <w:proofErr w:type="spellStart"/>
      <w:r w:rsidRPr="004D69C8">
        <w:rPr>
          <w:rFonts w:asciiTheme="minorHAnsi" w:hAnsiTheme="minorHAnsi"/>
          <w:lang w:val="ru-RU"/>
        </w:rPr>
        <w:t>проспективном</w:t>
      </w:r>
      <w:proofErr w:type="spellEnd"/>
      <w:r w:rsidRPr="004D69C8">
        <w:rPr>
          <w:rFonts w:asciiTheme="minorHAnsi" w:hAnsiTheme="minorHAnsi"/>
          <w:lang w:val="ru-RU"/>
        </w:rPr>
        <w:t xml:space="preserve"> </w:t>
      </w:r>
      <w:proofErr w:type="gramStart"/>
      <w:r w:rsidRPr="004D69C8">
        <w:rPr>
          <w:rFonts w:asciiTheme="minorHAnsi" w:hAnsiTheme="minorHAnsi"/>
          <w:lang w:val="ru-RU"/>
        </w:rPr>
        <w:t>динамическом  анализе</w:t>
      </w:r>
      <w:proofErr w:type="gramEnd"/>
      <w:r w:rsidRPr="004D69C8">
        <w:rPr>
          <w:rFonts w:asciiTheme="minorHAnsi" w:hAnsiTheme="minorHAnsi"/>
          <w:lang w:val="ru-RU"/>
        </w:rPr>
        <w:t>);</w:t>
      </w:r>
    </w:p>
    <w:p w14:paraId="350AC48E" w14:textId="602B1045" w:rsidR="004D69C8" w:rsidRPr="004D69C8" w:rsidRDefault="004D69C8" w:rsidP="004D69C8">
      <w:pPr>
        <w:rPr>
          <w:sz w:val="24"/>
          <w:szCs w:val="24"/>
          <w:lang w:val="ru-RU"/>
        </w:rPr>
      </w:pPr>
      <w:r w:rsidRPr="004D69C8">
        <w:rPr>
          <w:sz w:val="24"/>
          <w:szCs w:val="24"/>
          <w:lang w:val="ru-RU"/>
        </w:rPr>
        <w:t xml:space="preserve">В основе предлагаемого проекта лежат исследования, проводившиеся в Физическом Институте РАН им. П.Н. Лебедева (ФИАН) еще в прошлом веке и опыт, передававшийся от поколения к поколению сотрудников этого ведущего научного центра. В ходе многолетних научно-исследовательских работ, проводившихся совместно с ведущими медицинскими учреждениями, для изучения кинетики процессов экстракорпоральной оксигенации и </w:t>
      </w:r>
      <w:proofErr w:type="spellStart"/>
      <w:r w:rsidRPr="004D69C8">
        <w:rPr>
          <w:sz w:val="24"/>
          <w:szCs w:val="24"/>
          <w:lang w:val="ru-RU"/>
        </w:rPr>
        <w:t>деоксигенации</w:t>
      </w:r>
      <w:proofErr w:type="spellEnd"/>
      <w:r w:rsidRPr="004D69C8">
        <w:rPr>
          <w:sz w:val="24"/>
          <w:szCs w:val="24"/>
          <w:lang w:val="ru-RU"/>
        </w:rPr>
        <w:t xml:space="preserve"> крови и ее нарушениях при развитии системных заболеваний человека был разработан прибор КИНОКС-Гамма 4. </w:t>
      </w:r>
    </w:p>
    <w:p w14:paraId="792356D8" w14:textId="77777777" w:rsidR="004D69C8" w:rsidRPr="004D69C8" w:rsidRDefault="004D69C8" w:rsidP="004D69C8">
      <w:pPr>
        <w:contextualSpacing/>
        <w:jc w:val="both"/>
        <w:rPr>
          <w:sz w:val="24"/>
          <w:szCs w:val="24"/>
          <w:lang w:val="ru-RU"/>
        </w:rPr>
      </w:pPr>
      <w:r w:rsidRPr="004D69C8">
        <w:rPr>
          <w:sz w:val="24"/>
          <w:szCs w:val="24"/>
          <w:lang w:val="ru-RU"/>
        </w:rPr>
        <w:lastRenderedPageBreak/>
        <w:t xml:space="preserve">Действие предлагаемого прибора основано на принципах </w:t>
      </w:r>
      <w:proofErr w:type="spellStart"/>
      <w:r w:rsidRPr="004D69C8">
        <w:rPr>
          <w:sz w:val="24"/>
          <w:szCs w:val="24"/>
          <w:lang w:val="ru-RU"/>
        </w:rPr>
        <w:t>оксиметрии</w:t>
      </w:r>
      <w:proofErr w:type="spellEnd"/>
      <w:r w:rsidRPr="004D69C8">
        <w:rPr>
          <w:sz w:val="24"/>
          <w:szCs w:val="24"/>
          <w:lang w:val="ru-RU"/>
        </w:rPr>
        <w:t xml:space="preserve">: по изменению интенсивности обратно рассеянного света (двух и/или пяти длин волн) производится регистрация изменений фракционного состава гемоглобина эритроцитов от времени в процессах оксигенации и </w:t>
      </w:r>
      <w:proofErr w:type="spellStart"/>
      <w:r w:rsidRPr="004D69C8">
        <w:rPr>
          <w:sz w:val="24"/>
          <w:szCs w:val="24"/>
          <w:lang w:val="ru-RU"/>
        </w:rPr>
        <w:t>деоксигенации</w:t>
      </w:r>
      <w:proofErr w:type="spellEnd"/>
      <w:r w:rsidRPr="004D69C8">
        <w:rPr>
          <w:sz w:val="24"/>
          <w:szCs w:val="24"/>
          <w:lang w:val="ru-RU"/>
        </w:rPr>
        <w:t xml:space="preserve"> пробы крови </w:t>
      </w:r>
      <w:r w:rsidRPr="004D69C8">
        <w:rPr>
          <w:sz w:val="24"/>
          <w:szCs w:val="24"/>
        </w:rPr>
        <w:t>in</w:t>
      </w:r>
      <w:r w:rsidRPr="004D69C8">
        <w:rPr>
          <w:sz w:val="24"/>
          <w:szCs w:val="24"/>
          <w:lang w:val="ru-RU"/>
        </w:rPr>
        <w:t xml:space="preserve"> </w:t>
      </w:r>
      <w:r w:rsidRPr="004D69C8">
        <w:rPr>
          <w:sz w:val="24"/>
          <w:szCs w:val="24"/>
        </w:rPr>
        <w:t>vitro</w:t>
      </w:r>
      <w:r w:rsidRPr="004D69C8">
        <w:rPr>
          <w:sz w:val="24"/>
          <w:szCs w:val="24"/>
          <w:lang w:val="ru-RU"/>
        </w:rPr>
        <w:t xml:space="preserve">. </w:t>
      </w:r>
    </w:p>
    <w:p w14:paraId="5BC7A5D0" w14:textId="77777777" w:rsidR="004D69C8" w:rsidRPr="004D69C8" w:rsidRDefault="004D69C8" w:rsidP="004D69C8">
      <w:pPr>
        <w:contextualSpacing/>
        <w:jc w:val="both"/>
        <w:rPr>
          <w:sz w:val="24"/>
          <w:szCs w:val="24"/>
          <w:lang w:val="ru-RU"/>
        </w:rPr>
      </w:pPr>
      <w:r w:rsidRPr="004D69C8">
        <w:rPr>
          <w:sz w:val="24"/>
          <w:szCs w:val="24"/>
          <w:lang w:val="ru-RU"/>
        </w:rPr>
        <w:t>Известные пульс-</w:t>
      </w:r>
      <w:proofErr w:type="spellStart"/>
      <w:r w:rsidRPr="004D69C8">
        <w:rPr>
          <w:sz w:val="24"/>
          <w:szCs w:val="24"/>
          <w:lang w:val="ru-RU"/>
        </w:rPr>
        <w:t>оксиметры</w:t>
      </w:r>
      <w:proofErr w:type="spellEnd"/>
      <w:r w:rsidRPr="004D69C8">
        <w:rPr>
          <w:sz w:val="24"/>
          <w:szCs w:val="24"/>
          <w:lang w:val="ru-RU"/>
        </w:rPr>
        <w:t xml:space="preserve"> и многопараметрические анализаторы крови дают </w:t>
      </w:r>
      <w:proofErr w:type="spellStart"/>
      <w:r w:rsidRPr="004D69C8">
        <w:rPr>
          <w:sz w:val="24"/>
          <w:szCs w:val="24"/>
          <w:lang w:val="ru-RU"/>
        </w:rPr>
        <w:t>оксиметрическую</w:t>
      </w:r>
      <w:proofErr w:type="spellEnd"/>
      <w:r w:rsidRPr="004D69C8">
        <w:rPr>
          <w:sz w:val="24"/>
          <w:szCs w:val="24"/>
          <w:lang w:val="ru-RU"/>
        </w:rPr>
        <w:t xml:space="preserve"> оценку степени насыщенности крови кислородом (капиллярной артериальной – в случае пульс-</w:t>
      </w:r>
      <w:proofErr w:type="spellStart"/>
      <w:r w:rsidRPr="004D69C8">
        <w:rPr>
          <w:sz w:val="24"/>
          <w:szCs w:val="24"/>
          <w:lang w:val="ru-RU"/>
        </w:rPr>
        <w:t>оксиметров</w:t>
      </w:r>
      <w:proofErr w:type="spellEnd"/>
      <w:r w:rsidRPr="004D69C8">
        <w:rPr>
          <w:sz w:val="24"/>
          <w:szCs w:val="24"/>
          <w:lang w:val="ru-RU"/>
        </w:rPr>
        <w:t xml:space="preserve"> или артериальной и венозной крови - в случае анализаторов крови), реализующуюся в организме в момент измерения или взятия крови из организма. Предлагаемый нами прибор получения начальной степени насыщенности венозной или артериальной крови кислородом (или величины с ней коррелирующей), предоставляет уникальную возможность регистрировать изменение степени насыщенности эритроцитов кислородом с течением времени в процессах оксигенации и </w:t>
      </w:r>
      <w:proofErr w:type="spellStart"/>
      <w:r w:rsidRPr="004D69C8">
        <w:rPr>
          <w:sz w:val="24"/>
          <w:szCs w:val="24"/>
          <w:lang w:val="ru-RU"/>
        </w:rPr>
        <w:t>деоксигенации</w:t>
      </w:r>
      <w:proofErr w:type="spellEnd"/>
      <w:r w:rsidRPr="004D69C8">
        <w:rPr>
          <w:sz w:val="24"/>
          <w:szCs w:val="24"/>
          <w:lang w:val="ru-RU"/>
        </w:rPr>
        <w:t xml:space="preserve"> крови (</w:t>
      </w:r>
      <w:proofErr w:type="spellStart"/>
      <w:r w:rsidRPr="004D69C8">
        <w:rPr>
          <w:sz w:val="24"/>
          <w:szCs w:val="24"/>
          <w:lang w:val="ru-RU"/>
        </w:rPr>
        <w:t>in</w:t>
      </w:r>
      <w:proofErr w:type="spellEnd"/>
      <w:r w:rsidRPr="004D69C8">
        <w:rPr>
          <w:sz w:val="24"/>
          <w:szCs w:val="24"/>
          <w:lang w:val="ru-RU"/>
        </w:rPr>
        <w:t xml:space="preserve"> </w:t>
      </w:r>
      <w:proofErr w:type="spellStart"/>
      <w:r w:rsidRPr="004D69C8">
        <w:rPr>
          <w:sz w:val="24"/>
          <w:szCs w:val="24"/>
          <w:lang w:val="ru-RU"/>
        </w:rPr>
        <w:t>vitro</w:t>
      </w:r>
      <w:proofErr w:type="spellEnd"/>
      <w:r w:rsidRPr="004D69C8">
        <w:rPr>
          <w:sz w:val="24"/>
          <w:szCs w:val="24"/>
          <w:lang w:val="ru-RU"/>
        </w:rPr>
        <w:t xml:space="preserve">). Такие измерения позволяют получать скорости процессов, которые показывают изменения функциональных способностей эритроцитов, а именно способности эритроцитов эффективно связывать и отдавать кислород. Такая способность определяется несколькими факторами: </w:t>
      </w:r>
    </w:p>
    <w:p w14:paraId="1530F475" w14:textId="77777777" w:rsidR="004D69C8" w:rsidRPr="004D69C8" w:rsidRDefault="004D69C8" w:rsidP="004D69C8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lang w:val="ru-RU"/>
        </w:rPr>
      </w:pPr>
      <w:r w:rsidRPr="004D69C8">
        <w:rPr>
          <w:rFonts w:asciiTheme="minorHAnsi" w:hAnsiTheme="minorHAnsi"/>
          <w:lang w:val="ru-RU"/>
        </w:rPr>
        <w:t xml:space="preserve">концентрацией гемоглобина; </w:t>
      </w:r>
    </w:p>
    <w:p w14:paraId="121EE275" w14:textId="77777777" w:rsidR="004D69C8" w:rsidRPr="004D69C8" w:rsidRDefault="004D69C8" w:rsidP="004D69C8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lang w:val="ru-RU"/>
        </w:rPr>
      </w:pPr>
      <w:proofErr w:type="spellStart"/>
      <w:r w:rsidRPr="004D69C8">
        <w:rPr>
          <w:rFonts w:asciiTheme="minorHAnsi" w:hAnsiTheme="minorHAnsi"/>
          <w:lang w:val="ru-RU"/>
        </w:rPr>
        <w:t>нативностью</w:t>
      </w:r>
      <w:proofErr w:type="spellEnd"/>
      <w:r w:rsidRPr="004D69C8">
        <w:rPr>
          <w:rFonts w:asciiTheme="minorHAnsi" w:hAnsiTheme="minorHAnsi"/>
          <w:lang w:val="ru-RU"/>
        </w:rPr>
        <w:t xml:space="preserve"> его структуры; </w:t>
      </w:r>
    </w:p>
    <w:p w14:paraId="45E24D96" w14:textId="77777777" w:rsidR="004D69C8" w:rsidRPr="004D69C8" w:rsidRDefault="004D69C8" w:rsidP="004D69C8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lang w:val="ru-RU"/>
        </w:rPr>
      </w:pPr>
      <w:r w:rsidRPr="004D69C8">
        <w:rPr>
          <w:rFonts w:asciiTheme="minorHAnsi" w:hAnsiTheme="minorHAnsi"/>
          <w:lang w:val="ru-RU"/>
        </w:rPr>
        <w:t xml:space="preserve">функциональных способностей гемоглобина; </w:t>
      </w:r>
    </w:p>
    <w:p w14:paraId="15C75E58" w14:textId="77777777" w:rsidR="004D69C8" w:rsidRPr="004D69C8" w:rsidRDefault="004D69C8" w:rsidP="004D69C8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lang w:val="ru-RU"/>
        </w:rPr>
      </w:pPr>
      <w:r w:rsidRPr="004D69C8">
        <w:rPr>
          <w:rFonts w:asciiTheme="minorHAnsi" w:hAnsiTheme="minorHAnsi"/>
          <w:lang w:val="ru-RU"/>
        </w:rPr>
        <w:t xml:space="preserve">энергетического метаболизма эритроцитов (уровня АТФ, 2,3-ДФГ в них); </w:t>
      </w:r>
    </w:p>
    <w:p w14:paraId="1C7B0A32" w14:textId="77777777" w:rsidR="004D69C8" w:rsidRPr="004D69C8" w:rsidRDefault="004D69C8" w:rsidP="004D69C8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lang w:val="ru-RU"/>
        </w:rPr>
      </w:pPr>
      <w:r w:rsidRPr="004D69C8">
        <w:rPr>
          <w:rFonts w:asciiTheme="minorHAnsi" w:hAnsiTheme="minorHAnsi"/>
          <w:lang w:val="ru-RU"/>
        </w:rPr>
        <w:t xml:space="preserve">целостности </w:t>
      </w:r>
      <w:proofErr w:type="spellStart"/>
      <w:r w:rsidRPr="004D69C8">
        <w:rPr>
          <w:rFonts w:asciiTheme="minorHAnsi" w:hAnsiTheme="minorHAnsi"/>
          <w:lang w:val="ru-RU"/>
        </w:rPr>
        <w:t>билипидной</w:t>
      </w:r>
      <w:proofErr w:type="spellEnd"/>
      <w:r w:rsidRPr="004D69C8">
        <w:rPr>
          <w:rFonts w:asciiTheme="minorHAnsi" w:hAnsiTheme="minorHAnsi"/>
          <w:lang w:val="ru-RU"/>
        </w:rPr>
        <w:t xml:space="preserve"> мембраны. </w:t>
      </w:r>
    </w:p>
    <w:p w14:paraId="3742EACB" w14:textId="77777777" w:rsidR="004D69C8" w:rsidRPr="004D69C8" w:rsidRDefault="004D69C8" w:rsidP="004D69C8">
      <w:pPr>
        <w:contextualSpacing/>
        <w:jc w:val="both"/>
        <w:rPr>
          <w:sz w:val="24"/>
          <w:szCs w:val="24"/>
          <w:lang w:val="ru-RU"/>
        </w:rPr>
      </w:pPr>
      <w:r w:rsidRPr="004D69C8">
        <w:rPr>
          <w:sz w:val="24"/>
          <w:szCs w:val="24"/>
          <w:lang w:val="ru-RU"/>
        </w:rPr>
        <w:t xml:space="preserve">В наших исследованиях показано, что для скоростей насыщения проб венозной крови здоровых доноров существует диапазон нормальных значений. При существенном отклонении скорости насыщения пробы крови кислородом от нормальных значений можно говорить о существенном изменении одного или нескольких из перечисленных факторов. Эти изменения в организме могут быть вызваны внутренними (развитие различных системных патологий), либо внешними (вирусная или бактериальная агрессия) причинами. Таким образом, посредством измерения скоростей изменения степени насыщенности крови кислородом в процессах оксигенации и </w:t>
      </w:r>
      <w:proofErr w:type="spellStart"/>
      <w:r w:rsidRPr="004D69C8">
        <w:rPr>
          <w:sz w:val="24"/>
          <w:szCs w:val="24"/>
          <w:lang w:val="ru-RU"/>
        </w:rPr>
        <w:t>деоксигенации</w:t>
      </w:r>
      <w:proofErr w:type="spellEnd"/>
      <w:r w:rsidRPr="004D69C8">
        <w:rPr>
          <w:sz w:val="24"/>
          <w:szCs w:val="24"/>
          <w:lang w:val="ru-RU"/>
        </w:rPr>
        <w:t xml:space="preserve"> крови можно выяснить, насколько сильно эти причины повлияли на функциональные способности эритроцитов.</w:t>
      </w:r>
    </w:p>
    <w:p w14:paraId="042D1F82" w14:textId="3CDA2399" w:rsidR="004D69C8" w:rsidRPr="004D69C8" w:rsidRDefault="004D69C8" w:rsidP="004D69C8">
      <w:pPr>
        <w:rPr>
          <w:rFonts w:eastAsia="MS Mincho"/>
          <w:b/>
          <w:bCs/>
          <w:color w:val="C00000"/>
          <w:spacing w:val="10"/>
          <w:kern w:val="24"/>
          <w:sz w:val="28"/>
          <w:szCs w:val="28"/>
          <w:lang w:val="ru-RU"/>
        </w:rPr>
      </w:pPr>
      <w:r w:rsidRPr="004D69C8">
        <w:rPr>
          <w:rFonts w:eastAsia="MS Mincho"/>
          <w:b/>
          <w:bCs/>
          <w:color w:val="C00000"/>
          <w:spacing w:val="10"/>
          <w:kern w:val="24"/>
          <w:sz w:val="28"/>
          <w:szCs w:val="28"/>
          <w:lang w:val="ru-RU"/>
        </w:rPr>
        <w:t>Научная аннотация проекта.</w:t>
      </w:r>
    </w:p>
    <w:p w14:paraId="47EC010A" w14:textId="77777777" w:rsidR="00146BEA" w:rsidRPr="004D69C8" w:rsidRDefault="00146BEA" w:rsidP="00146BEA">
      <w:pPr>
        <w:rPr>
          <w:sz w:val="24"/>
          <w:szCs w:val="24"/>
          <w:lang w:val="ru-RU"/>
        </w:rPr>
      </w:pPr>
      <w:r w:rsidRPr="004D69C8">
        <w:rPr>
          <w:sz w:val="24"/>
          <w:szCs w:val="24"/>
          <w:lang w:val="ru-RU"/>
        </w:rPr>
        <w:t>Нормальное функционирование организма возможно только при эффективном снабжении его органов и тканей кислородом. Вдыхаемый кислород диффундирует через альвеолярные стенки легких к плазме крови дыхательных капилляров, проходит через мембрану эритроцитов, достигает гемоглобина и обратимо присоединяется к нему.</w:t>
      </w:r>
    </w:p>
    <w:p w14:paraId="132ADE50" w14:textId="72C3C6A8" w:rsidR="00146BEA" w:rsidRPr="004D69C8" w:rsidRDefault="00146BEA" w:rsidP="00146BEA">
      <w:pPr>
        <w:rPr>
          <w:sz w:val="24"/>
          <w:szCs w:val="24"/>
          <w:lang w:val="ru-RU"/>
        </w:rPr>
      </w:pPr>
      <w:r w:rsidRPr="004D69C8">
        <w:rPr>
          <w:sz w:val="24"/>
          <w:szCs w:val="24"/>
          <w:lang w:val="ru-RU"/>
        </w:rPr>
        <w:t>Эритроциты без потерь переносят присоединенный кислород, который затем диффундирует из внутриклеточной среды эритроцитов через мембрану во внеклеточную жидкость плазмы крови капилляров тканей, а из нее во внутриклеточную среду клеток-потребителей О</w:t>
      </w:r>
      <w:r w:rsidRPr="004D69C8">
        <w:rPr>
          <w:sz w:val="24"/>
          <w:szCs w:val="24"/>
          <w:vertAlign w:val="subscript"/>
          <w:lang w:val="ru-RU"/>
        </w:rPr>
        <w:t>2</w:t>
      </w:r>
      <w:r w:rsidRPr="004D69C8">
        <w:rPr>
          <w:sz w:val="24"/>
          <w:szCs w:val="24"/>
          <w:lang w:val="ru-RU"/>
        </w:rPr>
        <w:t xml:space="preserve">. Нарушение этого сложного механизма на любой из стадий может приводить к критическим состояниям организма, таким как острая или хроническая гипоксия. В медицинской практике о нарушении дыхательной функции крови в основном судят по изменению кислородной </w:t>
      </w:r>
      <w:r w:rsidRPr="004D69C8">
        <w:rPr>
          <w:sz w:val="24"/>
          <w:szCs w:val="24"/>
          <w:lang w:val="ru-RU"/>
        </w:rPr>
        <w:lastRenderedPageBreak/>
        <w:t xml:space="preserve">емкости крови (то есть уменьшению количества эритроцитов или количества гемоглобина в них) и/или по изменению сатурации крови (то есть доли гемоглобина, присоединившего кислород, по отношению к полной кислородной емкости). Кислородная емкость крови (а также концентрация гемоглобина, гематокрит, MCHC) определяется при рутинных медицинских анализах крови, а сатурация – с помощью пульсоксиметров и газовых анализаторов крови (например, фирмы </w:t>
      </w:r>
      <w:proofErr w:type="spellStart"/>
      <w:r w:rsidRPr="004D69C8">
        <w:rPr>
          <w:sz w:val="24"/>
          <w:szCs w:val="24"/>
          <w:lang w:val="ru-RU"/>
        </w:rPr>
        <w:t>Radiometer</w:t>
      </w:r>
      <w:proofErr w:type="spellEnd"/>
      <w:r w:rsidRPr="004D69C8">
        <w:rPr>
          <w:sz w:val="24"/>
          <w:szCs w:val="24"/>
          <w:lang w:val="ru-RU"/>
        </w:rPr>
        <w:t>) в критических ситуациях. Такие анализы достаточно информативны, однако не учитывают физиологические способности эритроцитов осуществлять газовый обмен. Эффективный газообмен возможен только лишь в том случае, когда эритроциты за время нахождения их в капиллярах альвеол или тканей-потребителей O</w:t>
      </w:r>
      <w:r w:rsidRPr="004D69C8">
        <w:rPr>
          <w:sz w:val="24"/>
          <w:szCs w:val="24"/>
          <w:vertAlign w:val="subscript"/>
          <w:lang w:val="ru-RU"/>
        </w:rPr>
        <w:t>2</w:t>
      </w:r>
      <w:r w:rsidRPr="004D69C8">
        <w:rPr>
          <w:sz w:val="24"/>
          <w:szCs w:val="24"/>
          <w:lang w:val="ru-RU"/>
        </w:rPr>
        <w:t xml:space="preserve"> (меньше 1 сек) получают или отдают строго определенное количество кислорода. Оценить такие динамические характеристики возможно лишь путем измерения скоростей насыщения или </w:t>
      </w:r>
      <w:proofErr w:type="spellStart"/>
      <w:r w:rsidRPr="004D69C8">
        <w:rPr>
          <w:sz w:val="24"/>
          <w:szCs w:val="24"/>
          <w:lang w:val="ru-RU"/>
        </w:rPr>
        <w:t>десатурации</w:t>
      </w:r>
      <w:proofErr w:type="spellEnd"/>
      <w:r w:rsidRPr="004D69C8">
        <w:rPr>
          <w:sz w:val="24"/>
          <w:szCs w:val="24"/>
          <w:lang w:val="ru-RU"/>
        </w:rPr>
        <w:t xml:space="preserve"> эритроцитов. До настоящего момента не существовало технологий для оценки возможностей эритроцитов осуществлять газообмен </w:t>
      </w:r>
      <w:proofErr w:type="spellStart"/>
      <w:r w:rsidRPr="004D69C8">
        <w:rPr>
          <w:sz w:val="24"/>
          <w:szCs w:val="24"/>
          <w:lang w:val="ru-RU"/>
        </w:rPr>
        <w:t>in</w:t>
      </w:r>
      <w:proofErr w:type="spellEnd"/>
      <w:r w:rsidRPr="004D69C8">
        <w:rPr>
          <w:sz w:val="24"/>
          <w:szCs w:val="24"/>
          <w:lang w:val="ru-RU"/>
        </w:rPr>
        <w:t xml:space="preserve"> </w:t>
      </w:r>
      <w:proofErr w:type="spellStart"/>
      <w:r w:rsidRPr="004D69C8">
        <w:rPr>
          <w:sz w:val="24"/>
          <w:szCs w:val="24"/>
          <w:lang w:val="ru-RU"/>
        </w:rPr>
        <w:t>vitro</w:t>
      </w:r>
      <w:proofErr w:type="spellEnd"/>
      <w:r w:rsidRPr="004D69C8">
        <w:rPr>
          <w:sz w:val="24"/>
          <w:szCs w:val="24"/>
          <w:lang w:val="ru-RU"/>
        </w:rPr>
        <w:t>. Необходимость такой оценки была четко продемонстрирована во время пандемии COVID-19, продолжающейся и до сих пор. Кроме того, такие факторы как старение организма, отравление, вирусная агрессия, соматические заболевания могут влиять на способность эритроцитов принимать или отдавать необходимое количество кислорода и приводить к гипоксическим состояниям в организме. Поэтому корректная оценка скоростей указанных процессов является своевременной и актуальной задачей, к решению которой и призваны разрабатываемые в настоящем проекте прибор и методики. Принцип их работы, также как и упомянутых выше пульс-</w:t>
      </w:r>
      <w:proofErr w:type="spellStart"/>
      <w:r w:rsidRPr="004D69C8">
        <w:rPr>
          <w:sz w:val="24"/>
          <w:szCs w:val="24"/>
          <w:lang w:val="ru-RU"/>
        </w:rPr>
        <w:t>оксиметров</w:t>
      </w:r>
      <w:proofErr w:type="spellEnd"/>
      <w:r w:rsidRPr="004D69C8">
        <w:rPr>
          <w:sz w:val="24"/>
          <w:szCs w:val="24"/>
          <w:lang w:val="ru-RU"/>
        </w:rPr>
        <w:t xml:space="preserve">, основан на методах </w:t>
      </w:r>
      <w:proofErr w:type="spellStart"/>
      <w:r w:rsidRPr="004D69C8">
        <w:rPr>
          <w:sz w:val="24"/>
          <w:szCs w:val="24"/>
          <w:lang w:val="ru-RU"/>
        </w:rPr>
        <w:t>оксиметрии</w:t>
      </w:r>
      <w:proofErr w:type="spellEnd"/>
      <w:r w:rsidRPr="004D69C8">
        <w:rPr>
          <w:sz w:val="24"/>
          <w:szCs w:val="24"/>
          <w:lang w:val="ru-RU"/>
        </w:rPr>
        <w:t xml:space="preserve">, однако в нашем случае, измеряется не одна точка, характеризующая фракционный состав гемоглобина в определенный момент времени, а континуум точек, получаемый в процессе </w:t>
      </w:r>
      <w:proofErr w:type="spellStart"/>
      <w:r w:rsidRPr="004D69C8">
        <w:rPr>
          <w:sz w:val="24"/>
          <w:szCs w:val="24"/>
          <w:lang w:val="ru-RU"/>
        </w:rPr>
        <w:t>экстакорпоральной</w:t>
      </w:r>
      <w:proofErr w:type="spellEnd"/>
      <w:r w:rsidRPr="004D69C8">
        <w:rPr>
          <w:sz w:val="24"/>
          <w:szCs w:val="24"/>
          <w:lang w:val="ru-RU"/>
        </w:rPr>
        <w:t xml:space="preserve"> оксигенации или </w:t>
      </w:r>
      <w:proofErr w:type="spellStart"/>
      <w:r w:rsidRPr="004D69C8">
        <w:rPr>
          <w:sz w:val="24"/>
          <w:szCs w:val="24"/>
          <w:lang w:val="ru-RU"/>
        </w:rPr>
        <w:t>деоксигенации</w:t>
      </w:r>
      <w:proofErr w:type="spellEnd"/>
      <w:r w:rsidRPr="004D69C8">
        <w:rPr>
          <w:sz w:val="24"/>
          <w:szCs w:val="24"/>
          <w:lang w:val="ru-RU"/>
        </w:rPr>
        <w:t xml:space="preserve"> пробы крови (кривая изменения степени насыщенности крови кислородом). По полученным данным определяется скорость оксигенации или </w:t>
      </w:r>
      <w:proofErr w:type="spellStart"/>
      <w:r w:rsidRPr="004D69C8">
        <w:rPr>
          <w:sz w:val="24"/>
          <w:szCs w:val="24"/>
          <w:lang w:val="ru-RU"/>
        </w:rPr>
        <w:t>деоксигенации</w:t>
      </w:r>
      <w:proofErr w:type="spellEnd"/>
      <w:r w:rsidRPr="004D69C8">
        <w:rPr>
          <w:sz w:val="24"/>
          <w:szCs w:val="24"/>
          <w:lang w:val="ru-RU"/>
        </w:rPr>
        <w:t xml:space="preserve"> пробы крови, характеризующая эффективность газообмена в эритроцитах. В ходе проекта планируется определить возрастно-половые диапазоны нормальных значений скоростей, отклонение от которых может свидетельствовать о </w:t>
      </w:r>
      <w:proofErr w:type="gramStart"/>
      <w:r w:rsidRPr="004D69C8">
        <w:rPr>
          <w:sz w:val="24"/>
          <w:szCs w:val="24"/>
          <w:lang w:val="ru-RU"/>
        </w:rPr>
        <w:t>морфо-функциональных</w:t>
      </w:r>
      <w:proofErr w:type="gramEnd"/>
      <w:r w:rsidRPr="004D69C8">
        <w:rPr>
          <w:sz w:val="24"/>
          <w:szCs w:val="24"/>
          <w:lang w:val="ru-RU"/>
        </w:rPr>
        <w:t xml:space="preserve"> изменениях состояния эритроцитов и служить новым </w:t>
      </w:r>
      <w:proofErr w:type="spellStart"/>
      <w:r w:rsidRPr="004D69C8">
        <w:rPr>
          <w:sz w:val="24"/>
          <w:szCs w:val="24"/>
          <w:lang w:val="ru-RU"/>
        </w:rPr>
        <w:t>биомаркером</w:t>
      </w:r>
      <w:proofErr w:type="spellEnd"/>
      <w:r w:rsidRPr="004D69C8">
        <w:rPr>
          <w:sz w:val="24"/>
          <w:szCs w:val="24"/>
          <w:lang w:val="ru-RU"/>
        </w:rPr>
        <w:t xml:space="preserve"> таких нарушений. Таким образом, основной задачей проекта является разработка и создание приборов и методик для регистрации изменения степени насыщенности гемоглобина эритроцитов кислородом в процессах оксигенации/</w:t>
      </w:r>
      <w:proofErr w:type="spellStart"/>
      <w:r w:rsidRPr="004D69C8">
        <w:rPr>
          <w:sz w:val="24"/>
          <w:szCs w:val="24"/>
          <w:lang w:val="ru-RU"/>
        </w:rPr>
        <w:t>деоксигенации</w:t>
      </w:r>
      <w:proofErr w:type="spellEnd"/>
      <w:r w:rsidRPr="004D69C8">
        <w:rPr>
          <w:sz w:val="24"/>
          <w:szCs w:val="24"/>
          <w:lang w:val="ru-RU"/>
        </w:rPr>
        <w:t xml:space="preserve"> проб крови, набор статистических данных для здоровых доноров, а также проверка влияния различных факторов (ингибиторов метаболизма, </w:t>
      </w:r>
      <w:proofErr w:type="spellStart"/>
      <w:r w:rsidRPr="004D69C8">
        <w:rPr>
          <w:sz w:val="24"/>
          <w:szCs w:val="24"/>
          <w:lang w:val="ru-RU"/>
        </w:rPr>
        <w:t>аквапоринов</w:t>
      </w:r>
      <w:proofErr w:type="spellEnd"/>
      <w:r w:rsidRPr="004D69C8">
        <w:rPr>
          <w:sz w:val="24"/>
          <w:szCs w:val="24"/>
          <w:lang w:val="ru-RU"/>
        </w:rPr>
        <w:t xml:space="preserve"> и др.) на морфофункциональное состояние эритроцитов крови. Новизна проекта заключается в подходе к анализу состояния эритроцитов, (в частности, скорости </w:t>
      </w:r>
      <w:proofErr w:type="spellStart"/>
      <w:r w:rsidRPr="004D69C8">
        <w:rPr>
          <w:sz w:val="24"/>
          <w:szCs w:val="24"/>
          <w:lang w:val="ru-RU"/>
        </w:rPr>
        <w:t>деоксигенации</w:t>
      </w:r>
      <w:proofErr w:type="spellEnd"/>
      <w:r w:rsidRPr="004D69C8">
        <w:rPr>
          <w:sz w:val="24"/>
          <w:szCs w:val="24"/>
          <w:lang w:val="ru-RU"/>
        </w:rPr>
        <w:t xml:space="preserve"> крови в мире еще никогда не оценивались), и в том, что оценка кинетики оксигенации/</w:t>
      </w:r>
      <w:proofErr w:type="spellStart"/>
      <w:r w:rsidRPr="004D69C8">
        <w:rPr>
          <w:sz w:val="24"/>
          <w:szCs w:val="24"/>
          <w:lang w:val="ru-RU"/>
        </w:rPr>
        <w:t>деоксигенации</w:t>
      </w:r>
      <w:proofErr w:type="spellEnd"/>
      <w:r w:rsidRPr="004D69C8">
        <w:rPr>
          <w:sz w:val="24"/>
          <w:szCs w:val="24"/>
          <w:lang w:val="ru-RU"/>
        </w:rPr>
        <w:t xml:space="preserve"> крови впервые дает возможность обнаруживать малые морфофункциональные изменения в эритроцитах, влияющие на их кислородно-транспортную функцию. Это может быть эффективно использовано в медицинской практике, позволив получить дополнительную информацию об уровне энергетического метаболизма эритроцитов, о степени поражения гемоглобина при различных внутренних болезнях, а также при вирусной агрессии (например, при COVID-19), а также о качестве донорской крови и степени риска развития осложнений после переливания крови.</w:t>
      </w:r>
    </w:p>
    <w:sectPr w:rsidR="00146BEA" w:rsidRPr="004D69C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E27DA"/>
    <w:multiLevelType w:val="hybridMultilevel"/>
    <w:tmpl w:val="226840EC"/>
    <w:lvl w:ilvl="0" w:tplc="E7BCA5B0">
      <w:start w:val="1"/>
      <w:numFmt w:val="bullet"/>
      <w:lvlText w:val="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7289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BEA"/>
    <w:rsid w:val="00146BEA"/>
    <w:rsid w:val="004D69C8"/>
    <w:rsid w:val="00596FAA"/>
    <w:rsid w:val="008C6212"/>
    <w:rsid w:val="0094579E"/>
    <w:rsid w:val="00996242"/>
    <w:rsid w:val="00CA0F20"/>
    <w:rsid w:val="00ED680F"/>
    <w:rsid w:val="00F61DEF"/>
    <w:rsid w:val="00FE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A85E3"/>
  <w15:chartTrackingRefBased/>
  <w15:docId w15:val="{250D7B2A-64EA-4D5E-95AA-DC994CDF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962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46B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9624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2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2</cp:revision>
  <dcterms:created xsi:type="dcterms:W3CDTF">2022-05-05T09:22:00Z</dcterms:created>
  <dcterms:modified xsi:type="dcterms:W3CDTF">2022-05-05T09:22:00Z</dcterms:modified>
</cp:coreProperties>
</file>